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14" w:rsidRDefault="00872C6F">
      <w:pPr>
        <w:pStyle w:val="20"/>
        <w:framePr w:w="10147" w:h="626" w:hRule="exact" w:wrap="none" w:vAnchor="page" w:hAnchor="page" w:x="1328" w:y="8085"/>
        <w:shd w:val="clear" w:color="auto" w:fill="auto"/>
        <w:spacing w:after="0" w:line="260" w:lineRule="exact"/>
        <w:ind w:right="300"/>
        <w:jc w:val="center"/>
      </w:pPr>
      <w:bookmarkStart w:id="0" w:name="bookmark3"/>
      <w:r>
        <w:t>РЕШЕНИЕ</w:t>
      </w:r>
      <w:bookmarkEnd w:id="0"/>
    </w:p>
    <w:p w:rsidR="006B1514" w:rsidRDefault="00872C6F">
      <w:pPr>
        <w:pStyle w:val="60"/>
        <w:framePr w:w="10147" w:h="626" w:hRule="exact" w:wrap="none" w:vAnchor="page" w:hAnchor="page" w:x="1328" w:y="8085"/>
        <w:shd w:val="clear" w:color="auto" w:fill="auto"/>
        <w:spacing w:before="0" w:after="0" w:line="260" w:lineRule="exact"/>
        <w:ind w:right="300"/>
      </w:pPr>
      <w:r>
        <w:t xml:space="preserve">по </w:t>
      </w:r>
      <w:r>
        <w:t>делу № 028/06/105-181/2020</w:t>
      </w:r>
    </w:p>
    <w:p w:rsidR="006B1514" w:rsidRDefault="00872C6F">
      <w:pPr>
        <w:pStyle w:val="22"/>
        <w:framePr w:w="10147" w:h="6655" w:hRule="exact" w:wrap="none" w:vAnchor="page" w:hAnchor="page" w:x="1328" w:y="8945"/>
        <w:shd w:val="clear" w:color="auto" w:fill="auto"/>
        <w:tabs>
          <w:tab w:val="left" w:pos="7650"/>
        </w:tabs>
        <w:spacing w:before="0" w:after="0" w:line="302" w:lineRule="exact"/>
        <w:ind w:left="560"/>
        <w:jc w:val="both"/>
      </w:pPr>
      <w:r>
        <w:t>12 мая 2020 года</w:t>
      </w:r>
      <w:r>
        <w:tab/>
        <w:t>г. Благовещенск</w:t>
      </w:r>
    </w:p>
    <w:p w:rsidR="006B1514" w:rsidRDefault="00872C6F">
      <w:pPr>
        <w:pStyle w:val="22"/>
        <w:framePr w:w="10147" w:h="6655" w:hRule="exact" w:wrap="none" w:vAnchor="page" w:hAnchor="page" w:x="1328" w:y="8945"/>
        <w:shd w:val="clear" w:color="auto" w:fill="auto"/>
        <w:spacing w:before="0" w:after="244" w:line="302" w:lineRule="exact"/>
        <w:ind w:left="560"/>
        <w:jc w:val="both"/>
      </w:pPr>
      <w:r>
        <w:t>(в полном объеме изготовлено 19 мая 2020 года)</w:t>
      </w:r>
    </w:p>
    <w:p w:rsidR="006B1514" w:rsidRDefault="00872C6F">
      <w:pPr>
        <w:pStyle w:val="22"/>
        <w:framePr w:w="10147" w:h="6655" w:hRule="exact" w:wrap="none" w:vAnchor="page" w:hAnchor="page" w:x="1328" w:y="8945"/>
        <w:shd w:val="clear" w:color="auto" w:fill="auto"/>
        <w:spacing w:before="0" w:after="0" w:line="298" w:lineRule="exact"/>
        <w:ind w:left="560" w:right="240" w:firstLine="700"/>
        <w:jc w:val="both"/>
      </w:pPr>
      <w:r>
        <w:t xml:space="preserve">Комиссия Управления Федеральной антимонопольной службы по Амурской области (далее - Амурское УФАС России) по контролю в сфере закупок в составе: </w:t>
      </w:r>
      <w:r>
        <w:t>Горячевой Н.В. - заместителя руководителя управления, председателя Комиссии, Парнищевой М.М. - начальника отдела контроля закупок, Стрелковой Е.В. - главного специалиста-эксперта указанного отдела,</w:t>
      </w:r>
    </w:p>
    <w:p w:rsidR="006B1514" w:rsidRDefault="00872C6F">
      <w:pPr>
        <w:pStyle w:val="22"/>
        <w:framePr w:w="10147" w:h="6655" w:hRule="exact" w:wrap="none" w:vAnchor="page" w:hAnchor="page" w:x="1328" w:y="8945"/>
        <w:shd w:val="clear" w:color="auto" w:fill="auto"/>
        <w:spacing w:before="0" w:after="0" w:line="298" w:lineRule="exact"/>
        <w:ind w:left="560" w:right="240" w:firstLine="700"/>
        <w:jc w:val="both"/>
      </w:pPr>
      <w:r>
        <w:t>в отсутствие представителей сторон по делу, уведомленных о</w:t>
      </w:r>
      <w:r>
        <w:t xml:space="preserve"> дате, времени и месте рассмотрения дела надлежащим образом (заказчиком заявлено ходатайство о рассмотрении дела в отсутствие представителя),</w:t>
      </w:r>
    </w:p>
    <w:p w:rsidR="006B1514" w:rsidRDefault="00872C6F">
      <w:pPr>
        <w:pStyle w:val="22"/>
        <w:framePr w:w="10147" w:h="6655" w:hRule="exact" w:wrap="none" w:vAnchor="page" w:hAnchor="page" w:x="1328" w:y="8945"/>
        <w:shd w:val="clear" w:color="auto" w:fill="auto"/>
        <w:spacing w:before="0" w:after="0" w:line="298" w:lineRule="exact"/>
        <w:ind w:left="560" w:right="240" w:firstLine="700"/>
        <w:jc w:val="both"/>
      </w:pPr>
      <w:r>
        <w:t>рассмотрела поступившую 06.05.2020 в Амурское УФАС России от Общества с ограниченной ответственностью «СТРОЙРЕСУРС</w:t>
      </w:r>
      <w:r>
        <w:t>» жалобу (вх. № 2086-э) на действия заказчика - Администрации города Завитинска при осуществлении закупки способом электронного аукциона на выполнение работ по устройству водоотводов из ж/б лотков в г. Завитинске, объявленной извещением от 24.04.2020 № 012</w:t>
      </w:r>
      <w:r>
        <w:t xml:space="preserve">3300009220000008 на официальном сайте Единой информационной системы в сфере закупок </w:t>
      </w:r>
      <w:hyperlink r:id="rId6" w:history="1">
        <w:r>
          <w:rPr>
            <w:rStyle w:val="a3"/>
          </w:rPr>
          <w:t>www.zakupki.gov.ru</w:t>
        </w:r>
      </w:hyperlink>
      <w:r w:rsidRPr="00872C6F">
        <w:rPr>
          <w:lang w:eastAsia="en-US" w:bidi="en-US"/>
        </w:rPr>
        <w:t xml:space="preserve"> </w:t>
      </w:r>
      <w:r>
        <w:t xml:space="preserve">и на электронной площадке ООО «РТС-тендер»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872C6F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872C6F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rts</w:t>
        </w:r>
        <w:r w:rsidRPr="00872C6F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tender</w:t>
        </w:r>
        <w:r w:rsidRPr="00872C6F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872C6F">
        <w:rPr>
          <w:lang w:eastAsia="en-US" w:bidi="en-US"/>
        </w:rPr>
        <w:t xml:space="preserve">, </w:t>
      </w:r>
      <w:r>
        <w:t>выраз</w:t>
      </w:r>
      <w:r>
        <w:t>ившиеся, по мнению заявителя, в нарушении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системе), а именн</w:t>
      </w:r>
      <w:r>
        <w:t>о: проект</w:t>
      </w:r>
    </w:p>
    <w:p w:rsidR="006B1514" w:rsidRDefault="00872C6F">
      <w:pPr>
        <w:pStyle w:val="20"/>
        <w:framePr w:w="10147" w:h="318" w:hRule="exact" w:wrap="none" w:vAnchor="page" w:hAnchor="page" w:x="1328" w:y="16145"/>
        <w:shd w:val="clear" w:color="auto" w:fill="auto"/>
        <w:spacing w:after="0" w:line="260" w:lineRule="exact"/>
        <w:jc w:val="right"/>
      </w:pPr>
      <w:bookmarkStart w:id="1" w:name="bookmark4"/>
      <w:r>
        <w:t>077993 ф</w:t>
      </w:r>
      <w:bookmarkEnd w:id="1"/>
    </w:p>
    <w:p w:rsidR="006B1514" w:rsidRDefault="006B1514">
      <w:pPr>
        <w:rPr>
          <w:sz w:val="2"/>
          <w:szCs w:val="2"/>
        </w:rPr>
        <w:sectPr w:rsidR="006B151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B1514" w:rsidRDefault="00872C6F">
      <w:pPr>
        <w:pStyle w:val="a5"/>
        <w:framePr w:wrap="none" w:vAnchor="page" w:hAnchor="page" w:x="6201" w:y="572"/>
        <w:shd w:val="clear" w:color="auto" w:fill="auto"/>
        <w:spacing w:line="280" w:lineRule="exact"/>
      </w:pPr>
      <w:r>
        <w:lastRenderedPageBreak/>
        <w:t>2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/>
        <w:jc w:val="both"/>
      </w:pPr>
      <w:r>
        <w:t>контракта не содержит условия, предусмотренного ч. 8.1 ст. 96 Закона о контрактной системе; в нарушение ч. 2 ст. 44 Закона о контрактной системе заказчик не предусматривает предоставление участником закупки банко</w:t>
      </w:r>
      <w:r>
        <w:t>вской гарантии в качестве обеспечения заявки.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 w:firstLine="720"/>
        <w:jc w:val="both"/>
      </w:pPr>
      <w:r>
        <w:t>Заказчиком представлены письменные возражения на жалобу от 12.05.2020 исх. № 1200,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 w:firstLine="720"/>
        <w:jc w:val="both"/>
      </w:pPr>
      <w:r>
        <w:t>Комиссия Амурского У ФАС России, рассмотрев жалобу и исследовав материалы дела,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240" w:line="298" w:lineRule="exact"/>
        <w:ind w:left="4400"/>
      </w:pPr>
      <w:r>
        <w:t>УСТАНОВИЛА: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 w:firstLine="720"/>
        <w:jc w:val="both"/>
      </w:pPr>
      <w:r>
        <w:t xml:space="preserve">Администрацией города Завитинска 24.04.2020 в единой информационной системе на официальном сайте </w:t>
      </w:r>
      <w:r>
        <w:rPr>
          <w:lang w:val="en-US" w:eastAsia="en-US" w:bidi="en-US"/>
        </w:rPr>
        <w:t>zakupki</w:t>
      </w:r>
      <w:r w:rsidRPr="00872C6F">
        <w:rPr>
          <w:lang w:eastAsia="en-US" w:bidi="en-US"/>
        </w:rPr>
        <w:t>.</w:t>
      </w:r>
      <w:r>
        <w:rPr>
          <w:lang w:val="en-US" w:eastAsia="en-US" w:bidi="en-US"/>
        </w:rPr>
        <w:t>gov</w:t>
      </w:r>
      <w:r w:rsidRPr="00872C6F">
        <w:rPr>
          <w:lang w:eastAsia="en-US" w:bidi="en-US"/>
        </w:rPr>
        <w:t>.</w:t>
      </w:r>
      <w:r>
        <w:rPr>
          <w:lang w:val="en-US" w:eastAsia="en-US" w:bidi="en-US"/>
        </w:rPr>
        <w:t>ru</w:t>
      </w:r>
      <w:r w:rsidRPr="00872C6F">
        <w:rPr>
          <w:lang w:eastAsia="en-US" w:bidi="en-US"/>
        </w:rPr>
        <w:t xml:space="preserve"> </w:t>
      </w:r>
      <w:r>
        <w:t xml:space="preserve">и на электронной площадке ООО «РТС-тендер» </w:t>
      </w:r>
      <w:hyperlink r:id="rId8" w:history="1">
        <w:r>
          <w:rPr>
            <w:rStyle w:val="a3"/>
          </w:rPr>
          <w:t>www.rts-tender.ru</w:t>
        </w:r>
      </w:hyperlink>
      <w:r w:rsidRPr="00872C6F">
        <w:rPr>
          <w:lang w:eastAsia="en-US" w:bidi="en-US"/>
        </w:rPr>
        <w:t xml:space="preserve"> </w:t>
      </w:r>
      <w:r>
        <w:t>было размещено извещение № 01233000092200000</w:t>
      </w:r>
      <w:r>
        <w:t>08 о проведении электронного аукциона на выполнение работ по устройству водоотводов из ж/б лотков в г. Завитинске.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 w:firstLine="720"/>
        <w:jc w:val="both"/>
      </w:pPr>
      <w:r>
        <w:t>Заявителем в жалобе указано, что в пункте 26 Информационной карты документации об аукционе не предусмотрено предоставление участником закупки</w:t>
      </w:r>
      <w:r>
        <w:t xml:space="preserve"> банковской гарантии в качестве обеспечения заявки.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 w:firstLine="720"/>
        <w:jc w:val="both"/>
      </w:pPr>
      <w:r>
        <w:t>В соответствии с ч. 8.1 ст. 96 Закона о контрактной системе участник закупки, с которым заключается контракт по результатам определения поставщика (подрядчика, исполнителя) в соответствии с пунктом 1 част</w:t>
      </w:r>
      <w:r>
        <w:t>и 1 статьи 30 настоящего Федерального закона, освобождается от предоставления обеспечения исполнения контракта, в том числе с учетом положений статьи 37 настоящего Федерального закона, об обеспечении гарантийных обязательств в случае предоставления таким у</w:t>
      </w:r>
      <w:r>
        <w:t>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</w:t>
      </w:r>
      <w:r>
        <w:t xml:space="preserve">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настоящим Федеральным законом для предоставления обеспечения исполнения контракта. При этом сумма </w:t>
      </w:r>
      <w:r>
        <w:t>цен таких контрактов должна составлять не менее начальной (максимальной) цены контракта, указанной в извещении об осуществлении закупки и документации о закупке.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 w:firstLine="720"/>
        <w:jc w:val="both"/>
      </w:pPr>
      <w:r>
        <w:t>Положения ч. 8.1 ст. 96 Закона о контрактной системе приведены в п. 6.9 документации об аукцио</w:t>
      </w:r>
      <w:r>
        <w:t>не.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 w:firstLine="720"/>
        <w:jc w:val="both"/>
      </w:pPr>
      <w:r>
        <w:t>Статья 34 и ч. 1 ст. 96 Закона о контрактной системе не содержат требований по указанию положений ч. 8.1 ст. 96 Закона о контрактной системе в проекте контракта.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 w:firstLine="720"/>
        <w:jc w:val="both"/>
      </w:pPr>
      <w:r>
        <w:t xml:space="preserve">В соответствии с ч. 2 ст. 44 Закона о контрактной системе обеспечение заявки на участие в </w:t>
      </w:r>
      <w:r>
        <w:t>конкурсе или аукционе может предоставляться участником закупки в виде денежных средств или банковской гарантии. Выбор способа обеспечения заявки на участие в конкурсе или аукционе осуществляется участником закупки. Согласно ч. 3 ст. 44 Закона о контрактной</w:t>
      </w:r>
      <w:r>
        <w:t xml:space="preserve"> системе размер обеспечения заявок и условия банковской гарантии (если такой способ обеспечения заявок применим в соответствии с настоящим Федеральным законом) указываются в конкурсной документации или документации об аукционе.</w:t>
      </w:r>
    </w:p>
    <w:p w:rsidR="006B1514" w:rsidRDefault="00872C6F">
      <w:pPr>
        <w:pStyle w:val="22"/>
        <w:framePr w:w="10147" w:h="14447" w:hRule="exact" w:wrap="none" w:vAnchor="page" w:hAnchor="page" w:x="1319" w:y="1163"/>
        <w:shd w:val="clear" w:color="auto" w:fill="auto"/>
        <w:spacing w:before="0" w:after="0" w:line="298" w:lineRule="exact"/>
        <w:ind w:left="300" w:right="500" w:firstLine="720"/>
        <w:jc w:val="both"/>
      </w:pPr>
      <w:r>
        <w:t>Сведения о формах обеспечени</w:t>
      </w:r>
      <w:r>
        <w:t>я заявки на участие в электронном аукционе и условиях банковской гарантии содержатся в пункте 2.5 аукционной документации.</w:t>
      </w:r>
    </w:p>
    <w:p w:rsidR="006B1514" w:rsidRDefault="006B1514">
      <w:pPr>
        <w:rPr>
          <w:sz w:val="2"/>
          <w:szCs w:val="2"/>
        </w:rPr>
        <w:sectPr w:rsidR="006B151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B1514" w:rsidRDefault="00872C6F">
      <w:pPr>
        <w:pStyle w:val="a5"/>
        <w:framePr w:wrap="none" w:vAnchor="page" w:hAnchor="page" w:x="6460" w:y="572"/>
        <w:shd w:val="clear" w:color="auto" w:fill="auto"/>
        <w:spacing w:line="280" w:lineRule="exact"/>
      </w:pPr>
      <w:r>
        <w:lastRenderedPageBreak/>
        <w:t>3</w:t>
      </w:r>
    </w:p>
    <w:p w:rsidR="006B1514" w:rsidRDefault="00872C6F">
      <w:pPr>
        <w:pStyle w:val="22"/>
        <w:framePr w:w="10147" w:h="7583" w:hRule="exact" w:wrap="none" w:vAnchor="page" w:hAnchor="page" w:x="1319" w:y="1187"/>
        <w:shd w:val="clear" w:color="auto" w:fill="auto"/>
        <w:spacing w:before="0" w:after="0" w:line="298" w:lineRule="exact"/>
        <w:ind w:left="560" w:right="240" w:firstLine="720"/>
        <w:jc w:val="both"/>
      </w:pPr>
      <w:r>
        <w:t>Заявитель, принимая решение об участии в закупке, должен ознакомиться в аукционной документацией в полном объ</w:t>
      </w:r>
      <w:r>
        <w:t>еме.</w:t>
      </w:r>
    </w:p>
    <w:p w:rsidR="006B1514" w:rsidRDefault="00872C6F">
      <w:pPr>
        <w:pStyle w:val="22"/>
        <w:framePr w:w="10147" w:h="7583" w:hRule="exact" w:wrap="none" w:vAnchor="page" w:hAnchor="page" w:x="1319" w:y="1187"/>
        <w:shd w:val="clear" w:color="auto" w:fill="auto"/>
        <w:spacing w:before="0" w:after="0" w:line="298" w:lineRule="exact"/>
        <w:ind w:left="560" w:right="240" w:firstLine="720"/>
        <w:jc w:val="both"/>
      </w:pPr>
      <w:r>
        <w:t>Рассмотрев жалобу Общества с ограниченной ответственностью «СТРОЙРЕСУРС» (вх. № 2086-э) на действия заказчика - Администрации города Завитинска при осуществлении закупки способом электронного аукциона на выполнение работ по устройству водоотводов из ж</w:t>
      </w:r>
      <w:r>
        <w:t xml:space="preserve">/б лотков в г. Завитинске, объявленной извещением от 24.04.2020 №0123300009220000008 на официальном сайте Единой информационной системы в сфере закупок </w:t>
      </w:r>
      <w:hyperlink r:id="rId9" w:history="1">
        <w:r>
          <w:rPr>
            <w:rStyle w:val="a3"/>
          </w:rPr>
          <w:t>www.zakupki.gov.ru</w:t>
        </w:r>
      </w:hyperlink>
      <w:r w:rsidRPr="00872C6F">
        <w:rPr>
          <w:lang w:eastAsia="en-US" w:bidi="en-US"/>
        </w:rPr>
        <w:t xml:space="preserve"> </w:t>
      </w:r>
      <w:r>
        <w:t xml:space="preserve">и на электронной площадке ООО «РТС-тендер» </w:t>
      </w:r>
      <w:hyperlink r:id="rId10" w:history="1">
        <w:r>
          <w:rPr>
            <w:rStyle w:val="a3"/>
          </w:rPr>
          <w:t>http://www.rts-tender.ru</w:t>
        </w:r>
      </w:hyperlink>
      <w:r w:rsidRPr="00872C6F">
        <w:rPr>
          <w:rStyle w:val="23"/>
          <w:lang w:val="ru-RU"/>
        </w:rPr>
        <w:t>,</w:t>
      </w:r>
      <w:r w:rsidRPr="00872C6F">
        <w:rPr>
          <w:lang w:eastAsia="en-US" w:bidi="en-US"/>
        </w:rPr>
        <w:t xml:space="preserve"> </w:t>
      </w:r>
      <w:r>
        <w:t>руководствуясь пунктом 1 части 3, части 15 статьи 99, части 8 статьи 106 Закона о контрактной системе, приказом ФАС России от 19.11.2014 № 727/14 «Об утверждении административного регламента Фе</w:t>
      </w:r>
      <w:r>
        <w:t>деральной антимонопольной службы по исполнению государственной функции по рассмотрению жалоб на 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</w:t>
      </w:r>
      <w:r>
        <w:t>ов, должностного лица контрактной службы, контрактного управляющего, оператора электронной площадки при определении поставщиков (подрядчиков, исполнителей) для обеспечения государственных и муниципальных нужд», Комиссия Амурского У ФАС России приняла</w:t>
      </w:r>
    </w:p>
    <w:p w:rsidR="006B1514" w:rsidRDefault="00872C6F">
      <w:pPr>
        <w:pStyle w:val="22"/>
        <w:framePr w:w="10147" w:h="7583" w:hRule="exact" w:wrap="none" w:vAnchor="page" w:hAnchor="page" w:x="1319" w:y="1187"/>
        <w:shd w:val="clear" w:color="auto" w:fill="auto"/>
        <w:spacing w:before="0" w:after="286" w:line="298" w:lineRule="exact"/>
        <w:ind w:left="4920"/>
      </w:pPr>
      <w:r>
        <w:t>РЕШЕНИЕ:</w:t>
      </w:r>
    </w:p>
    <w:p w:rsidR="006B1514" w:rsidRDefault="00872C6F">
      <w:pPr>
        <w:pStyle w:val="22"/>
        <w:framePr w:w="10147" w:h="7583" w:hRule="exact" w:wrap="none" w:vAnchor="page" w:hAnchor="page" w:x="1319" w:y="1187"/>
        <w:shd w:val="clear" w:color="auto" w:fill="auto"/>
        <w:spacing w:before="0" w:after="266" w:line="240" w:lineRule="exact"/>
        <w:ind w:left="560" w:firstLine="720"/>
        <w:jc w:val="both"/>
      </w:pPr>
      <w:r>
        <w:t>1. Признать жалобу ООО «СТРОЙРЕСУРС» необоснованной.</w:t>
      </w:r>
    </w:p>
    <w:p w:rsidR="006B1514" w:rsidRDefault="00872C6F">
      <w:pPr>
        <w:pStyle w:val="22"/>
        <w:framePr w:w="10147" w:h="7583" w:hRule="exact" w:wrap="none" w:vAnchor="page" w:hAnchor="page" w:x="1319" w:y="1187"/>
        <w:shd w:val="clear" w:color="auto" w:fill="auto"/>
        <w:spacing w:before="0" w:after="0" w:line="298" w:lineRule="exact"/>
        <w:ind w:left="560" w:right="240" w:firstLine="720"/>
        <w:jc w:val="both"/>
      </w:pPr>
      <w:r>
        <w:t>Решение Комиссии антимонопольного органа может быть обжаловано в судебном порядке в течение трех месяцев со дня его принятия.</w:t>
      </w:r>
    </w:p>
    <w:p w:rsidR="006B1514" w:rsidRDefault="006B1514">
      <w:pPr>
        <w:rPr>
          <w:sz w:val="2"/>
          <w:szCs w:val="2"/>
        </w:rPr>
      </w:pPr>
      <w:bookmarkStart w:id="2" w:name="_GoBack"/>
      <w:bookmarkEnd w:id="2"/>
    </w:p>
    <w:sectPr w:rsidR="006B151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72C6F">
      <w:r>
        <w:separator/>
      </w:r>
    </w:p>
  </w:endnote>
  <w:endnote w:type="continuationSeparator" w:id="0">
    <w:p w:rsidR="00000000" w:rsidRDefault="0087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514" w:rsidRDefault="006B1514"/>
  </w:footnote>
  <w:footnote w:type="continuationSeparator" w:id="0">
    <w:p w:rsidR="006B1514" w:rsidRDefault="006B151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B1514"/>
    <w:rsid w:val="006B1514"/>
    <w:rsid w:val="0087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9E576AB-66BC-4935-89F6-47052ACD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2pt">
    <w:name w:val="Основной текст (3) + 12 pt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w w:val="6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30"/>
      <w:szCs w:val="30"/>
      <w:u w:val="single"/>
      <w:lang w:val="ru-RU" w:eastAsia="ru-RU" w:bidi="ru-RU"/>
    </w:rPr>
  </w:style>
  <w:style w:type="character" w:customStyle="1" w:styleId="1Verdana9pt0pt100">
    <w:name w:val="Заголовок №1 + Verdana;9 pt;Не полужирный;Интервал 0 pt;Масштаб 100%"/>
    <w:basedOn w:val="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Verdana9pt0pt1000">
    <w:name w:val="Заголовок №1 + Verdana;9 pt;Не полужирный;Интервал 0 pt;Масштаб 100%"/>
    <w:basedOn w:val="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221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20"/>
      <w:w w:val="60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595" w:lineRule="exact"/>
      <w:jc w:val="righ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rts-tender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2020-05-20T03:12:00Z</dcterms:created>
  <dcterms:modified xsi:type="dcterms:W3CDTF">2020-05-20T03:12:00Z</dcterms:modified>
</cp:coreProperties>
</file>